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东盛租赁公司开展商务接待、公务招待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自学自查自纠工作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为贯彻落实中共淮北市纪律检查委员会下发的《关于完善接待管理制度等方面工作的建议》文件精神，</w:t>
      </w:r>
      <w:r>
        <w:rPr>
          <w:rFonts w:hint="default" w:ascii="Times New Roman" w:hAnsi="Times New Roman" w:eastAsia="仿宋_GB2312" w:cs="Times New Roman"/>
          <w:sz w:val="32"/>
          <w:szCs w:val="32"/>
          <w:lang w:val="en-US" w:eastAsia="zh-CN"/>
        </w:rPr>
        <w:t>9月20日下午，东盛租赁公司总经理王智组织召开专题会议，</w:t>
      </w:r>
      <w:r>
        <w:rPr>
          <w:rFonts w:hint="default" w:ascii="Times New Roman" w:hAnsi="Times New Roman" w:eastAsia="仿宋_GB2312" w:cs="Times New Roman"/>
          <w:sz w:val="32"/>
          <w:szCs w:val="32"/>
          <w:lang w:eastAsia="zh-CN"/>
        </w:rPr>
        <w:t>开展商务接待、公务招待自学自查自纠工作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会议伊始，东盛租赁公司总经理王智带领大家集体学习了</w:t>
      </w:r>
      <w:r>
        <w:rPr>
          <w:rFonts w:hint="default" w:ascii="Times New Roman" w:hAnsi="Times New Roman" w:eastAsia="仿宋_GB2312" w:cs="Times New Roman"/>
          <w:sz w:val="32"/>
          <w:szCs w:val="32"/>
          <w:lang w:val="en-US" w:eastAsia="zh-CN"/>
        </w:rPr>
        <w:t>《关于完善接待管理制度等方面工作的建议》、《淮北市市直单位接待经费管理暂行办法》、《关于印发〈淮北市党政机关国内公务接待管理细则〉的通知》、《淮北市财政局淮北市机关事务管理中心关于调整市直机关公务接待费用餐标准的通知》、《市国资委市财政局关于转发省国资委省财政厅关于转发国务院国资委财政部国有企业商务招待管理规定的通知》等一系列关于商务接待和公务招待的有关规定。会议期间，东盛租赁公司总经理王智强调要严格区分商务接待和公务招待，提高思想认识，严格按照文件规定执行商务接待和公务招待工作，明确接待范围和接待标准，不要出现超范围、越标准的情况，领导干部更要以身作则，自觉遵守商务接待和公务招待相关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会后，我司对照要求，针对我司商务接待和公务招待支出情况进行了逐条逐款自查。自2021年起至今，我司商务接待和公务招待标准合规，报销凭据真实完整，无违法违规行为。在今后的工作中，我司将会严格落实商务接待和公务招待的有关规定，严控接待费用，坚决杜绝公款请吃请喝和铺张浪费行为，使商务接待和公务招待既不违反规定又发挥应有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27940</wp:posOffset>
            </wp:positionV>
            <wp:extent cx="5264785" cy="3950335"/>
            <wp:effectExtent l="0" t="0" r="12065" b="12065"/>
            <wp:wrapSquare wrapText="bothSides"/>
            <wp:docPr id="3" name="图片 3" descr="105d488491023e4acaf88afa6e6c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5d488491023e4acaf88afa6e6c04a"/>
                    <pic:cNvPicPr>
                      <a:picLocks noChangeAspect="1"/>
                    </pic:cNvPicPr>
                  </pic:nvPicPr>
                  <pic:blipFill>
                    <a:blip r:embed="rId5"/>
                    <a:stretch>
                      <a:fillRect/>
                    </a:stretch>
                  </pic:blipFill>
                  <pic:spPr>
                    <a:xfrm>
                      <a:off x="0" y="0"/>
                      <a:ext cx="5264785" cy="3950335"/>
                    </a:xfrm>
                    <a:prstGeom prst="rect">
                      <a:avLst/>
                    </a:prstGeom>
                  </pic:spPr>
                </pic:pic>
              </a:graphicData>
            </a:graphic>
          </wp:anchor>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M2VhOWE4MWZjODVlNWYwNmNjZWZhZjU3MjliNmUifQ=="/>
  </w:docVars>
  <w:rsids>
    <w:rsidRoot w:val="00000000"/>
    <w:rsid w:val="0C9141AC"/>
    <w:rsid w:val="0D5D49D6"/>
    <w:rsid w:val="14AD3953"/>
    <w:rsid w:val="164B61BD"/>
    <w:rsid w:val="1DD40151"/>
    <w:rsid w:val="21B52099"/>
    <w:rsid w:val="22C277A8"/>
    <w:rsid w:val="2527505B"/>
    <w:rsid w:val="2F8B61E7"/>
    <w:rsid w:val="34963664"/>
    <w:rsid w:val="3B3479AB"/>
    <w:rsid w:val="48253225"/>
    <w:rsid w:val="4D817646"/>
    <w:rsid w:val="50D650BC"/>
    <w:rsid w:val="54EF082F"/>
    <w:rsid w:val="57C739B1"/>
    <w:rsid w:val="5DF50B4C"/>
    <w:rsid w:val="6AF35486"/>
    <w:rsid w:val="7830695F"/>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598</Words>
  <Characters>602</Characters>
  <Lines>0</Lines>
  <Paragraphs>0</Paragraphs>
  <TotalTime>4</TotalTime>
  <ScaleCrop>false</ScaleCrop>
  <LinksUpToDate>false</LinksUpToDate>
  <CharactersWithSpaces>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2023-09-28T00:47:30Z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EB8A613A53114EAE8D58D103F84F60E6_12</vt:lpwstr>
  </property>
</Properties>
</file>